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2346762" w14:textId="0F720331" w:rsidR="00054976" w:rsidRPr="00054976" w:rsidRDefault="00054976" w:rsidP="00054976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054976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54976">
        <w:rPr>
          <w:rFonts w:ascii="Arial" w:hAnsi="Arial" w:cs="Arial"/>
          <w:sz w:val="22"/>
          <w:szCs w:val="22"/>
        </w:rPr>
        <w:t>11a</w:t>
      </w:r>
      <w:proofErr w:type="gramEnd"/>
      <w:r w:rsidRPr="00054976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2466318D" w14:textId="1A8DFB6F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7F87B121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Pr="005E5001">
        <w:rPr>
          <w:rFonts w:ascii="Arial" w:hAnsi="Arial" w:cs="Arial"/>
          <w:sz w:val="22"/>
          <w:szCs w:val="22"/>
        </w:rPr>
        <w:t>, LL.M.,</w:t>
      </w:r>
      <w:r>
        <w:rPr>
          <w:rFonts w:ascii="Arial" w:hAnsi="Arial" w:cs="Arial"/>
          <w:sz w:val="22"/>
          <w:szCs w:val="22"/>
        </w:rPr>
        <w:t xml:space="preserve"> </w:t>
      </w:r>
      <w:r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13A34710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Ve smluvních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79E9DEE4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25A5B231" w14:textId="2177C8D6" w:rsidR="00054976" w:rsidRDefault="00054976" w:rsidP="006F1AD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Ing. Ivan Polách, vedoucí Pobočky Olomouc</w:t>
      </w:r>
    </w:p>
    <w:p w14:paraId="60B1B679" w14:textId="77777777" w:rsidR="00054976" w:rsidRPr="00014665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Romana Petrželová, Pobočka Olomouc</w:t>
      </w:r>
    </w:p>
    <w:p w14:paraId="1CB23466" w14:textId="77777777" w:rsidR="00054976" w:rsidRPr="00B17852" w:rsidRDefault="00054976" w:rsidP="00054976">
      <w:pPr>
        <w:tabs>
          <w:tab w:val="left" w:pos="4536"/>
        </w:tabs>
        <w:spacing w:before="0"/>
        <w:ind w:left="4536"/>
        <w:rPr>
          <w:rFonts w:ascii="Arial" w:hAnsi="Arial" w:cs="Arial"/>
          <w:snapToGrid w:val="0"/>
          <w:sz w:val="22"/>
          <w:szCs w:val="22"/>
        </w:rPr>
      </w:pPr>
      <w:r w:rsidRPr="005157DA">
        <w:rPr>
          <w:rFonts w:ascii="Arial" w:hAnsi="Arial" w:cs="Arial"/>
          <w:snapToGrid w:val="0"/>
          <w:sz w:val="22"/>
          <w:szCs w:val="22"/>
        </w:rPr>
        <w:t xml:space="preserve">Ing. Renáta Brundová, vedoucí Pobočky Přerov </w:t>
      </w:r>
    </w:p>
    <w:p w14:paraId="7B90EADE" w14:textId="77777777" w:rsidR="00054976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 w:rsidRPr="005157DA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>
        <w:rPr>
          <w:rFonts w:ascii="Arial" w:hAnsi="Arial" w:cs="Arial"/>
          <w:snapToGrid w:val="0"/>
          <w:sz w:val="22"/>
          <w:szCs w:val="22"/>
        </w:rPr>
        <w:t>Alžběta Šamánková</w:t>
      </w:r>
      <w:r w:rsidRPr="005157DA">
        <w:rPr>
          <w:rFonts w:ascii="Arial" w:hAnsi="Arial" w:cs="Arial"/>
          <w:snapToGrid w:val="0"/>
          <w:sz w:val="22"/>
          <w:szCs w:val="22"/>
        </w:rPr>
        <w:t>, Pobočka Přerov</w:t>
      </w:r>
    </w:p>
    <w:p w14:paraId="018F413C" w14:textId="77777777" w:rsidR="00054976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Mgr. Jiří Koudelka, vedoucí Pobočky Prostějov</w:t>
      </w:r>
    </w:p>
    <w:p w14:paraId="6FC65490" w14:textId="77777777" w:rsidR="00054976" w:rsidRPr="00014665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Daniel Gottvald, Pobočka Prostějov</w:t>
      </w:r>
    </w:p>
    <w:p w14:paraId="26A71A3E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3A67A30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z w:val="22"/>
          <w:szCs w:val="22"/>
        </w:rPr>
        <w:t xml:space="preserve">+420 </w:t>
      </w:r>
      <w:r w:rsidRPr="005157DA">
        <w:rPr>
          <w:rFonts w:ascii="Arial" w:hAnsi="Arial" w:cs="Arial"/>
          <w:sz w:val="22"/>
          <w:szCs w:val="22"/>
        </w:rPr>
        <w:t>727 957 264</w:t>
      </w:r>
    </w:p>
    <w:p w14:paraId="54AA7015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olomoucky.kraj@spucr.cz</w:t>
      </w:r>
    </w:p>
    <w:p w14:paraId="299ABE28" w14:textId="77777777" w:rsidR="00054976" w:rsidRPr="00014665" w:rsidRDefault="00054976" w:rsidP="00054976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307DC6EB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6444FCA9" w14:textId="77777777" w:rsidR="00054976" w:rsidRPr="00014665" w:rsidRDefault="00054976" w:rsidP="00054976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459DD0B0" w14:textId="77777777" w:rsidR="00054976" w:rsidRPr="00014665" w:rsidRDefault="00054976" w:rsidP="00054976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E4C8A0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0EED655F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Geodetické služby 0</w:t>
      </w:r>
      <w:r w:rsidR="00054976">
        <w:rPr>
          <w:rFonts w:ascii="Arial" w:hAnsi="Arial" w:cs="Arial"/>
          <w:b/>
          <w:bCs/>
          <w:sz w:val="22"/>
          <w:szCs w:val="22"/>
        </w:rPr>
        <w:t>2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/202</w:t>
      </w:r>
      <w:r w:rsidR="00054976">
        <w:rPr>
          <w:rFonts w:ascii="Arial" w:hAnsi="Arial" w:cs="Arial"/>
          <w:b/>
          <w:bCs/>
          <w:sz w:val="22"/>
          <w:szCs w:val="22"/>
        </w:rPr>
        <w:t>4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 xml:space="preserve"> - KPÚ pro Olomoucký kraj, okresy 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Jeseník,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Prostějov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Přerov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, část </w:t>
      </w:r>
      <w:proofErr w:type="gramStart"/>
      <w:r w:rsidR="0000500E">
        <w:rPr>
          <w:rFonts w:ascii="Arial" w:hAnsi="Arial" w:cs="Arial"/>
          <w:b/>
          <w:bCs/>
          <w:sz w:val="22"/>
          <w:szCs w:val="22"/>
        </w:rPr>
        <w:t xml:space="preserve">1: </w:t>
      </w:r>
      <w:r w:rsidR="00054976" w:rsidRPr="00014665">
        <w:rPr>
          <w:rFonts w:ascii="Arial" w:hAnsi="Arial" w:cs="Arial"/>
          <w:sz w:val="22"/>
          <w:szCs w:val="22"/>
        </w:rPr>
        <w:t xml:space="preserve">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>Vytýčení</w:t>
      </w:r>
      <w:proofErr w:type="gram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hranic pozemků po </w:t>
      </w:r>
      <w:proofErr w:type="spellStart"/>
      <w:r w:rsidR="0000500E" w:rsidRPr="0000500E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v okresech Olomouc, Prostějov a Přerov</w:t>
      </w:r>
      <w:r w:rsidR="0000500E" w:rsidRPr="0000500E">
        <w:rPr>
          <w:rFonts w:ascii="Arial" w:hAnsi="Arial" w:cs="Arial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6E4A5E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38CFE83C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</w:t>
      </w:r>
      <w:r w:rsidR="008E1C90">
        <w:rPr>
          <w:rFonts w:ascii="Arial" w:hAnsi="Arial" w:cs="Arial"/>
          <w:sz w:val="22"/>
          <w:szCs w:val="22"/>
        </w:rPr>
        <w:t>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54976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54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45B98CB5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</w:t>
      </w:r>
      <w:proofErr w:type="spellStart"/>
      <w:r w:rsidR="00054976" w:rsidRPr="00DA438F">
        <w:rPr>
          <w:rFonts w:ascii="Arial" w:hAnsi="Arial" w:cs="Arial"/>
          <w:sz w:val="22"/>
          <w:szCs w:val="22"/>
        </w:rPr>
        <w:t>u</w:t>
      </w:r>
      <w:proofErr w:type="spellEnd"/>
      <w:r w:rsidR="00054976" w:rsidRPr="00DA438F">
        <w:rPr>
          <w:rFonts w:ascii="Arial" w:hAnsi="Arial" w:cs="Arial"/>
          <w:sz w:val="22"/>
          <w:szCs w:val="22"/>
        </w:rPr>
        <w:t xml:space="preserve"> KPÚ pro Olomoucký kraj,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 xml:space="preserve">Pobočky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>Prostějov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 a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054976">
        <w:rPr>
          <w:rFonts w:ascii="Arial" w:hAnsi="Arial" w:cs="Arial"/>
          <w:b/>
          <w:bCs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9A3B8B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29CF37E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BF5F8C" w:rsidRPr="00014665">
        <w:rPr>
          <w:rFonts w:ascii="Arial" w:hAnsi="Arial" w:cs="Arial"/>
          <w:sz w:val="22"/>
          <w:szCs w:val="22"/>
        </w:rPr>
        <w:t>v </w:t>
      </w:r>
      <w:r w:rsidR="00BF5F8C">
        <w:rPr>
          <w:rFonts w:ascii="Arial" w:hAnsi="Arial" w:cs="Arial"/>
          <w:sz w:val="22"/>
          <w:szCs w:val="22"/>
        </w:rPr>
        <w:t>okresech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BF5F8C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BF5F8C" w:rsidRPr="00DA438F">
        <w:rPr>
          <w:rFonts w:ascii="Arial" w:hAnsi="Arial" w:cs="Arial"/>
          <w:b/>
          <w:bCs/>
          <w:sz w:val="22"/>
          <w:szCs w:val="22"/>
        </w:rPr>
        <w:t>Prostějov</w:t>
      </w:r>
      <w:r w:rsidR="00BF5F8C">
        <w:rPr>
          <w:rFonts w:ascii="Arial" w:hAnsi="Arial" w:cs="Arial"/>
          <w:b/>
          <w:bCs/>
          <w:sz w:val="22"/>
          <w:szCs w:val="22"/>
        </w:rPr>
        <w:t xml:space="preserve"> a </w:t>
      </w:r>
      <w:r w:rsidR="00BF5F8C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5CE8A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BF5F8C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E06B30E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BF5F8C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D27F27" w:rsidRPr="00805271">
        <w:rPr>
          <w:rFonts w:ascii="Arial" w:hAnsi="Arial" w:cs="Arial"/>
          <w:sz w:val="22"/>
          <w:szCs w:val="22"/>
        </w:rPr>
        <w:t xml:space="preserve">Pobočku </w:t>
      </w:r>
      <w:r w:rsidR="00D27F27" w:rsidRPr="00805271">
        <w:rPr>
          <w:rFonts w:ascii="Arial" w:hAnsi="Arial" w:cs="Arial"/>
          <w:b/>
          <w:bCs/>
          <w:sz w:val="22"/>
          <w:szCs w:val="22"/>
        </w:rPr>
        <w:t xml:space="preserve">Olomouc, Prostějov </w:t>
      </w:r>
      <w:r w:rsidR="00D27F27">
        <w:rPr>
          <w:rFonts w:ascii="Arial" w:hAnsi="Arial" w:cs="Arial"/>
          <w:b/>
          <w:bCs/>
          <w:sz w:val="22"/>
          <w:szCs w:val="22"/>
        </w:rPr>
        <w:t xml:space="preserve">a </w:t>
      </w:r>
      <w:r w:rsidR="00D27F27" w:rsidRPr="00805271">
        <w:rPr>
          <w:rFonts w:ascii="Arial" w:hAnsi="Arial" w:cs="Arial"/>
          <w:b/>
          <w:bCs/>
          <w:sz w:val="22"/>
          <w:szCs w:val="22"/>
        </w:rPr>
        <w:t>Přerov</w:t>
      </w:r>
      <w:r w:rsidR="00D27F27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27F27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1F910413" w14:textId="77777777" w:rsidR="00915F21" w:rsidRPr="00915F21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D27F27">
        <w:rPr>
          <w:rFonts w:ascii="Arial" w:hAnsi="Arial" w:cs="Arial"/>
          <w:sz w:val="22"/>
          <w:szCs w:val="22"/>
        </w:rPr>
        <w:t xml:space="preserve"> 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1</w:t>
      </w:r>
      <w:r w:rsidR="00D162EA">
        <w:rPr>
          <w:rFonts w:ascii="Arial" w:hAnsi="Arial" w:cs="Arial"/>
          <w:b/>
          <w:bCs/>
          <w:sz w:val="22"/>
          <w:szCs w:val="22"/>
        </w:rPr>
        <w:t>1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.11.2024</w:t>
      </w:r>
      <w:r w:rsidR="00D27F27">
        <w:rPr>
          <w:rFonts w:ascii="Arial" w:hAnsi="Arial" w:cs="Arial"/>
          <w:b/>
          <w:bCs/>
          <w:sz w:val="22"/>
          <w:szCs w:val="22"/>
        </w:rPr>
        <w:t>.</w:t>
      </w:r>
      <w:r w:rsidR="00915F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47D5798" w14:textId="41F1B0A1" w:rsidR="00FD4817" w:rsidRPr="00014665" w:rsidRDefault="00915F21" w:rsidP="00915F21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 toho v</w:t>
      </w:r>
      <w:r w:rsidRPr="00915F21">
        <w:rPr>
          <w:rFonts w:ascii="Arial" w:hAnsi="Arial" w:cs="Arial"/>
          <w:b/>
          <w:bCs/>
          <w:sz w:val="22"/>
          <w:szCs w:val="22"/>
        </w:rPr>
        <w:t xml:space="preserve">ytyčení a označení hranic pozemků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Paseka u Šternberka bude provedeno 11.10.2024. </w:t>
      </w:r>
    </w:p>
    <w:p w14:paraId="0EC2EA4F" w14:textId="77777777" w:rsidR="00D27F27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72D19B9C" w14:textId="55B53D21" w:rsidR="00D27F27" w:rsidRDefault="00D27F27" w:rsidP="00471C95">
      <w:pPr>
        <w:pStyle w:val="Zhlav"/>
        <w:tabs>
          <w:tab w:val="clear" w:pos="4536"/>
          <w:tab w:val="clear" w:pos="9072"/>
        </w:tabs>
        <w:spacing w:before="120" w:after="120"/>
        <w:ind w:left="567" w:firstLine="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Pr="008E7C24"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 xml:space="preserve">stín, </w:t>
      </w:r>
      <w:r w:rsidR="00330C2F">
        <w:rPr>
          <w:rFonts w:ascii="Arial" w:hAnsi="Arial" w:cs="Arial"/>
          <w:sz w:val="22"/>
          <w:szCs w:val="22"/>
        </w:rPr>
        <w:t xml:space="preserve">Uničov, Řídeč, Paseka u Šternberka, Vilémov u Litovle,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Olomouc</w:t>
      </w:r>
      <w:r w:rsidRPr="00C60D2B">
        <w:rPr>
          <w:rFonts w:ascii="Arial" w:hAnsi="Arial" w:cs="Arial"/>
          <w:sz w:val="22"/>
          <w:szCs w:val="22"/>
        </w:rPr>
        <w:t xml:space="preserve"> </w:t>
      </w:r>
    </w:p>
    <w:p w14:paraId="67B580FC" w14:textId="11533305" w:rsidR="00D27F27" w:rsidRDefault="00D27F27" w:rsidP="00471C95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330C2F">
        <w:rPr>
          <w:rFonts w:ascii="Arial" w:hAnsi="Arial" w:cs="Arial"/>
          <w:sz w:val="22"/>
          <w:szCs w:val="22"/>
        </w:rPr>
        <w:t xml:space="preserve">Suchdol u Konice, Slatinky, Seč u Lipové, </w:t>
      </w:r>
      <w:proofErr w:type="gramStart"/>
      <w:r w:rsidR="00330C2F">
        <w:rPr>
          <w:rFonts w:ascii="Arial" w:hAnsi="Arial" w:cs="Arial"/>
          <w:sz w:val="22"/>
          <w:szCs w:val="22"/>
        </w:rPr>
        <w:t>Slatinky,</w:t>
      </w:r>
      <w:r>
        <w:rPr>
          <w:rFonts w:ascii="Arial" w:hAnsi="Arial" w:cs="Arial"/>
          <w:sz w:val="22"/>
          <w:szCs w:val="22"/>
        </w:rPr>
        <w:t>,</w:t>
      </w:r>
      <w:proofErr w:type="gramEnd"/>
      <w:r>
        <w:rPr>
          <w:rFonts w:ascii="Arial" w:hAnsi="Arial" w:cs="Arial"/>
          <w:sz w:val="22"/>
          <w:szCs w:val="22"/>
        </w:rPr>
        <w:t xml:space="preserve"> Vřesovice u Prostějova,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Prostějov</w:t>
      </w:r>
      <w:r w:rsidRPr="00C60D2B">
        <w:rPr>
          <w:rFonts w:ascii="Arial" w:hAnsi="Arial" w:cs="Arial"/>
          <w:sz w:val="22"/>
          <w:szCs w:val="22"/>
        </w:rPr>
        <w:t xml:space="preserve"> </w:t>
      </w:r>
    </w:p>
    <w:p w14:paraId="392224E1" w14:textId="1CB8C903" w:rsidR="00D27F27" w:rsidRDefault="00D27F27" w:rsidP="00471C95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330C2F">
        <w:rPr>
          <w:rFonts w:ascii="Arial" w:hAnsi="Arial" w:cs="Arial"/>
          <w:sz w:val="22"/>
          <w:szCs w:val="22"/>
        </w:rPr>
        <w:t xml:space="preserve">Lověšice u Přerova, </w:t>
      </w:r>
      <w:r>
        <w:rPr>
          <w:rFonts w:ascii="Arial" w:hAnsi="Arial" w:cs="Arial"/>
          <w:sz w:val="22"/>
          <w:szCs w:val="22"/>
        </w:rPr>
        <w:t xml:space="preserve">Bohuslávky, </w:t>
      </w:r>
      <w:r w:rsidR="00330C2F">
        <w:rPr>
          <w:rFonts w:ascii="Arial" w:hAnsi="Arial" w:cs="Arial"/>
          <w:sz w:val="22"/>
          <w:szCs w:val="22"/>
        </w:rPr>
        <w:t xml:space="preserve">Veselíčko,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Přerov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1F7399C4" w14:textId="60F6C1AE" w:rsidR="00D27F27" w:rsidRPr="00D27F27" w:rsidRDefault="00D27F27" w:rsidP="00D27F27">
      <w:pPr>
        <w:pStyle w:val="Odstavecseseznamem"/>
        <w:spacing w:after="12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  </w:t>
      </w:r>
      <w:r w:rsidR="00FD4817" w:rsidRPr="00D27F27">
        <w:rPr>
          <w:rFonts w:ascii="Arial" w:hAnsi="Arial" w:cs="Arial"/>
          <w:sz w:val="22"/>
          <w:szCs w:val="22"/>
        </w:rPr>
        <w:t xml:space="preserve">Dokončené </w:t>
      </w:r>
      <w:r w:rsidRPr="00D27F27">
        <w:rPr>
          <w:rFonts w:ascii="Arial" w:hAnsi="Arial" w:cs="Arial"/>
          <w:sz w:val="22"/>
          <w:szCs w:val="22"/>
          <w:u w:color="FF0000"/>
        </w:rPr>
        <w:t>č</w:t>
      </w:r>
      <w:r w:rsidR="00461C2B" w:rsidRPr="00D27F27">
        <w:rPr>
          <w:rFonts w:ascii="Arial" w:hAnsi="Arial" w:cs="Arial"/>
          <w:sz w:val="22"/>
          <w:szCs w:val="22"/>
          <w:u w:color="FF0000"/>
        </w:rPr>
        <w:t>ást</w:t>
      </w:r>
      <w:r w:rsidR="006902C6" w:rsidRPr="00D27F27">
        <w:rPr>
          <w:rFonts w:ascii="Arial" w:hAnsi="Arial" w:cs="Arial"/>
          <w:sz w:val="22"/>
          <w:szCs w:val="22"/>
        </w:rPr>
        <w:t>i Díla budou předán</w:t>
      </w:r>
      <w:r w:rsidR="0051260C" w:rsidRPr="00D27F27">
        <w:rPr>
          <w:rFonts w:ascii="Arial" w:hAnsi="Arial" w:cs="Arial"/>
          <w:sz w:val="22"/>
          <w:szCs w:val="22"/>
        </w:rPr>
        <w:t>y</w:t>
      </w:r>
      <w:r w:rsidR="00D6451F" w:rsidRPr="00D27F27">
        <w:rPr>
          <w:rFonts w:ascii="Arial" w:hAnsi="Arial" w:cs="Arial"/>
          <w:sz w:val="22"/>
          <w:szCs w:val="22"/>
        </w:rPr>
        <w:t xml:space="preserve"> </w:t>
      </w:r>
      <w:r w:rsidR="00A87320" w:rsidRPr="00D27F27">
        <w:rPr>
          <w:rFonts w:ascii="Arial" w:hAnsi="Arial" w:cs="Arial"/>
          <w:sz w:val="22"/>
          <w:szCs w:val="22"/>
        </w:rPr>
        <w:t>O</w:t>
      </w:r>
      <w:r w:rsidR="00D6451F" w:rsidRPr="00D27F27">
        <w:rPr>
          <w:rFonts w:ascii="Arial" w:hAnsi="Arial" w:cs="Arial"/>
          <w:sz w:val="22"/>
          <w:szCs w:val="22"/>
        </w:rPr>
        <w:t xml:space="preserve">bjednateli </w:t>
      </w:r>
      <w:r w:rsidR="00145065" w:rsidRPr="00D27F27">
        <w:rPr>
          <w:rFonts w:ascii="Arial" w:hAnsi="Arial" w:cs="Arial"/>
          <w:sz w:val="22"/>
          <w:szCs w:val="22"/>
        </w:rPr>
        <w:t>na adrese:</w:t>
      </w:r>
      <w:r w:rsidR="006B2EE2" w:rsidRPr="00D27F27">
        <w:rPr>
          <w:rFonts w:ascii="Arial" w:hAnsi="Arial" w:cs="Arial"/>
          <w:sz w:val="22"/>
          <w:szCs w:val="22"/>
        </w:rPr>
        <w:t xml:space="preserve"> </w:t>
      </w:r>
    </w:p>
    <w:p w14:paraId="1F3904F7" w14:textId="77777777" w:rsidR="00D27F27" w:rsidRPr="0043489A" w:rsidRDefault="00D27F27" w:rsidP="0043489A">
      <w:pPr>
        <w:spacing w:after="120"/>
        <w:ind w:left="0" w:firstLine="574"/>
        <w:rPr>
          <w:rFonts w:ascii="Arial" w:hAnsi="Arial" w:cs="Arial"/>
          <w:b/>
          <w:snapToGrid w:val="0"/>
          <w:sz w:val="22"/>
          <w:szCs w:val="22"/>
        </w:rPr>
      </w:pPr>
      <w:r w:rsidRPr="0043489A">
        <w:rPr>
          <w:rFonts w:ascii="Arial" w:hAnsi="Arial" w:cs="Arial"/>
          <w:b/>
          <w:snapToGrid w:val="0"/>
          <w:sz w:val="22"/>
          <w:szCs w:val="22"/>
        </w:rPr>
        <w:t xml:space="preserve">KPÚ pro Olomoucký kraj, Pobočka Olomouc, </w:t>
      </w:r>
    </w:p>
    <w:p w14:paraId="69804BCC" w14:textId="77777777" w:rsidR="00D27F27" w:rsidRPr="009129AD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704B1B">
        <w:rPr>
          <w:rFonts w:ascii="Arial" w:hAnsi="Arial" w:cs="Arial"/>
          <w:b/>
          <w:snapToGrid w:val="0"/>
          <w:sz w:val="22"/>
          <w:szCs w:val="22"/>
        </w:rPr>
        <w:t>Blanická 383/1, 772 00 Olomouc</w:t>
      </w:r>
    </w:p>
    <w:p w14:paraId="79E8C9AA" w14:textId="77777777" w:rsidR="00D27F27" w:rsidRPr="00704B1B" w:rsidRDefault="00D27F27" w:rsidP="00D27F27">
      <w:pPr>
        <w:spacing w:after="120"/>
        <w:ind w:left="0" w:firstLine="36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lastRenderedPageBreak/>
        <w:t xml:space="preserve">   </w:t>
      </w:r>
      <w:r w:rsidRPr="00704B1B">
        <w:rPr>
          <w:rFonts w:ascii="Arial" w:hAnsi="Arial" w:cs="Arial"/>
          <w:b/>
          <w:snapToGrid w:val="0"/>
          <w:sz w:val="22"/>
          <w:szCs w:val="22"/>
        </w:rPr>
        <w:t xml:space="preserve">KPÚ pro Olomoucký kraj, Pobočka Prostějov, </w:t>
      </w:r>
    </w:p>
    <w:p w14:paraId="728D88EC" w14:textId="77777777" w:rsidR="00D27F27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Aloise Krále 4</w:t>
      </w:r>
      <w:r w:rsidRPr="00CB3371">
        <w:rPr>
          <w:rFonts w:ascii="Arial" w:hAnsi="Arial" w:cs="Arial"/>
          <w:b/>
          <w:snapToGrid w:val="0"/>
          <w:sz w:val="22"/>
          <w:szCs w:val="22"/>
        </w:rPr>
        <w:t>, 79</w:t>
      </w:r>
      <w:r>
        <w:rPr>
          <w:rFonts w:ascii="Arial" w:hAnsi="Arial" w:cs="Arial"/>
          <w:b/>
          <w:snapToGrid w:val="0"/>
          <w:sz w:val="22"/>
          <w:szCs w:val="22"/>
        </w:rPr>
        <w:t>6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>
        <w:rPr>
          <w:rFonts w:ascii="Arial" w:hAnsi="Arial" w:cs="Arial"/>
          <w:b/>
          <w:snapToGrid w:val="0"/>
          <w:sz w:val="22"/>
          <w:szCs w:val="22"/>
        </w:rPr>
        <w:t>1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Prostějov</w:t>
      </w:r>
    </w:p>
    <w:p w14:paraId="3ACAC3D7" w14:textId="77777777" w:rsidR="00D27F27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0FC7DD8F" w14:textId="77777777" w:rsidR="00D27F27" w:rsidRPr="00014665" w:rsidRDefault="00D27F27" w:rsidP="00D27F27">
      <w:pPr>
        <w:pStyle w:val="Zhlav"/>
        <w:tabs>
          <w:tab w:val="clear" w:pos="4536"/>
          <w:tab w:val="clear" w:pos="9072"/>
        </w:tabs>
        <w:spacing w:before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8B5AC3F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CA519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39EAE4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8801AB">
        <w:rPr>
          <w:rFonts w:ascii="Arial" w:hAnsi="Arial" w:cs="Arial"/>
          <w:sz w:val="22"/>
          <w:szCs w:val="22"/>
        </w:rPr>
        <w:br/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8EDEE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 xml:space="preserve">íla je považován i případ, kdy katastrální úřad shledá </w:t>
      </w:r>
      <w:r w:rsidR="00163AEF" w:rsidRPr="00014665">
        <w:rPr>
          <w:rFonts w:ascii="Arial" w:hAnsi="Arial" w:cs="Arial"/>
          <w:sz w:val="22"/>
          <w:szCs w:val="22"/>
        </w:rPr>
        <w:lastRenderedPageBreak/>
        <w:t>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CA5195">
        <w:rPr>
          <w:rFonts w:ascii="Arial" w:hAnsi="Arial" w:cs="Arial"/>
          <w:sz w:val="22"/>
          <w:szCs w:val="22"/>
        </w:rPr>
        <w:t xml:space="preserve"> 20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7397FCF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0E3EF4">
        <w:rPr>
          <w:rFonts w:ascii="Arial" w:hAnsi="Arial" w:cs="Arial"/>
          <w:b/>
          <w:bCs/>
          <w:sz w:val="22"/>
          <w:szCs w:val="22"/>
        </w:rPr>
        <w:t>401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7DC0406A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99779D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6807E1E4" w14:textId="77777777" w:rsidR="0099779D" w:rsidRDefault="0099779D" w:rsidP="0099779D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5C7C7DB2" w14:textId="0506917B" w:rsidR="0099779D" w:rsidRPr="00F47AC4" w:rsidRDefault="0099779D" w:rsidP="0099779D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  <w:r w:rsidRPr="00F47AC4">
        <w:rPr>
          <w:rFonts w:ascii="Arial" w:hAnsi="Arial" w:cs="Arial"/>
          <w:b/>
          <w:sz w:val="22"/>
          <w:szCs w:val="22"/>
        </w:rPr>
        <w:t>Z toho:</w:t>
      </w:r>
    </w:p>
    <w:p w14:paraId="31CF2221" w14:textId="77777777" w:rsidR="0099779D" w:rsidRPr="0043489A" w:rsidRDefault="0099779D" w:rsidP="0043489A">
      <w:pPr>
        <w:spacing w:after="120"/>
        <w:ind w:left="0"/>
        <w:rPr>
          <w:rFonts w:ascii="Arial" w:hAnsi="Arial" w:cs="Arial"/>
          <w:b/>
          <w:sz w:val="22"/>
          <w:szCs w:val="22"/>
        </w:rPr>
      </w:pPr>
    </w:p>
    <w:p w14:paraId="725D1D6F" w14:textId="77777777" w:rsidR="0099779D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Olomouc</w:t>
      </w:r>
    </w:p>
    <w:p w14:paraId="793F162B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044270BA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03EB41DA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7349F719" w14:textId="77777777" w:rsidR="0099779D" w:rsidRDefault="0099779D" w:rsidP="0099779D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77996F0B" w14:textId="77777777" w:rsidR="0099779D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Okres Prostějov</w:t>
      </w:r>
    </w:p>
    <w:p w14:paraId="5445E7AA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18D5498A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4972F25F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59C90C0A" w14:textId="77777777" w:rsidR="0099779D" w:rsidRPr="005C3529" w:rsidRDefault="0099779D" w:rsidP="0099779D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10DFBA32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 w:rsidRPr="005C3529">
        <w:rPr>
          <w:rFonts w:ascii="Arial" w:hAnsi="Arial" w:cs="Arial"/>
          <w:b/>
          <w:sz w:val="22"/>
          <w:szCs w:val="22"/>
        </w:rPr>
        <w:t xml:space="preserve">Okres </w:t>
      </w:r>
      <w:r>
        <w:rPr>
          <w:rFonts w:ascii="Arial" w:hAnsi="Arial" w:cs="Arial"/>
          <w:b/>
          <w:sz w:val="22"/>
          <w:szCs w:val="22"/>
        </w:rPr>
        <w:t>Přerov</w:t>
      </w:r>
    </w:p>
    <w:p w14:paraId="71F6CC7B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 Kč</w:t>
      </w:r>
    </w:p>
    <w:p w14:paraId="240F6CFE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7ED50BBC" w14:textId="77777777" w:rsidR="0099779D" w:rsidRPr="005C3529" w:rsidRDefault="0099779D" w:rsidP="0099779D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4C2FAFEA" w14:textId="77777777" w:rsidR="0099779D" w:rsidRPr="00014665" w:rsidRDefault="0099779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7A19E851" w14:textId="77777777" w:rsidR="000E1189" w:rsidRPr="00A211D7" w:rsidRDefault="009E0440" w:rsidP="000E1189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 xml:space="preserve">Jako odběratel na faktuře bude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lastRenderedPageBreak/>
        <w:t>uveden Státní pozemkový úřad, Husinecká 1024/</w:t>
      </w:r>
      <w:proofErr w:type="gramStart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0E118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E1189" w:rsidRPr="00014665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0E1189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455CCE22" w14:textId="77777777" w:rsidR="000E1189" w:rsidRPr="009129AD" w:rsidRDefault="000E1189" w:rsidP="000E1189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Olomouc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Blanická 383/1, 779 00 Olomouc</w:t>
      </w:r>
    </w:p>
    <w:p w14:paraId="145CB889" w14:textId="77777777" w:rsidR="000E1189" w:rsidRPr="00704B1B" w:rsidRDefault="000E1189" w:rsidP="000E1189">
      <w:pPr>
        <w:spacing w:after="120"/>
        <w:ind w:left="0" w:firstLine="567"/>
        <w:rPr>
          <w:rFonts w:ascii="Arial" w:hAnsi="Arial" w:cs="Arial"/>
          <w:b/>
          <w:snapToGrid w:val="0"/>
          <w:sz w:val="22"/>
          <w:szCs w:val="22"/>
        </w:rPr>
      </w:pPr>
      <w:r w:rsidRPr="00704B1B">
        <w:rPr>
          <w:rFonts w:ascii="Arial" w:hAnsi="Arial" w:cs="Arial"/>
          <w:b/>
          <w:snapToGrid w:val="0"/>
          <w:sz w:val="22"/>
          <w:szCs w:val="22"/>
        </w:rPr>
        <w:t>Pobočka Prostějov, adresa</w:t>
      </w:r>
      <w:r w:rsidRPr="00704B1B">
        <w:rPr>
          <w:rFonts w:ascii="Arial" w:hAnsi="Arial" w:cs="Arial"/>
          <w:snapToGrid w:val="0"/>
          <w:sz w:val="22"/>
          <w:szCs w:val="22"/>
        </w:rPr>
        <w:t xml:space="preserve">: </w:t>
      </w:r>
      <w:r w:rsidRPr="00704B1B">
        <w:rPr>
          <w:rFonts w:ascii="Arial" w:hAnsi="Arial" w:cs="Arial"/>
          <w:b/>
          <w:snapToGrid w:val="0"/>
          <w:sz w:val="22"/>
          <w:szCs w:val="22"/>
        </w:rPr>
        <w:t>Aloise Krále 4, 796 01 Prostějov</w:t>
      </w:r>
    </w:p>
    <w:p w14:paraId="44200C80" w14:textId="77777777" w:rsidR="000E1189" w:rsidRDefault="000E1189" w:rsidP="000E1189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6BD6D79F" w14:textId="01A488CD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25F0CAE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063BA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C12F949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5EF24CFE" w14:textId="77777777" w:rsidR="007063BA" w:rsidRPr="00A81392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t>Krajský pozemkový úřad pro Olomoucký kraj</w:t>
      </w:r>
    </w:p>
    <w:p w14:paraId="1080A68F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32828036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537D5D4D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B7129F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F63BE27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082945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2C81B3F6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6E19C7E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183D4EA0" w14:textId="77777777" w:rsidR="007063BA" w:rsidRPr="00014665" w:rsidRDefault="007063BA" w:rsidP="007063BA">
      <w:pPr>
        <w:rPr>
          <w:rFonts w:ascii="Arial" w:hAnsi="Arial" w:cs="Arial"/>
          <w:sz w:val="22"/>
          <w:szCs w:val="22"/>
        </w:rPr>
      </w:pPr>
    </w:p>
    <w:p w14:paraId="02FE1ED7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9F1DD9B" w14:textId="77777777" w:rsidR="007063BA" w:rsidRPr="00014665" w:rsidRDefault="007063BA" w:rsidP="007063BA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7ECF6E0B" w14:textId="77777777" w:rsidR="007063BA" w:rsidRPr="00014665" w:rsidRDefault="007063BA" w:rsidP="007063BA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76BD9647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3B0C6A" w14:textId="77777777" w:rsidR="007063BA" w:rsidRPr="00014665" w:rsidRDefault="007063BA" w:rsidP="007063BA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72B670D1" w14:textId="77777777" w:rsidR="007063BA" w:rsidRDefault="007063BA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sz w:val="22"/>
          <w:szCs w:val="22"/>
        </w:rPr>
      </w:pPr>
    </w:p>
    <w:bookmarkEnd w:id="1"/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3595" w14:textId="77777777" w:rsidR="006D494D" w:rsidRDefault="006D494D" w:rsidP="003C2E23">
      <w:pPr>
        <w:spacing w:before="0"/>
      </w:pPr>
      <w:r>
        <w:separator/>
      </w:r>
    </w:p>
  </w:endnote>
  <w:endnote w:type="continuationSeparator" w:id="0">
    <w:p w14:paraId="132B0684" w14:textId="77777777" w:rsidR="006D494D" w:rsidRDefault="006D494D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B7664" w14:textId="77777777" w:rsidR="006D494D" w:rsidRDefault="006D494D" w:rsidP="003C2E23">
      <w:pPr>
        <w:spacing w:before="0"/>
      </w:pPr>
      <w:r>
        <w:separator/>
      </w:r>
    </w:p>
  </w:footnote>
  <w:footnote w:type="continuationSeparator" w:id="0">
    <w:p w14:paraId="3CB65352" w14:textId="77777777" w:rsidR="006D494D" w:rsidRDefault="006D494D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36A148F" w:rsidR="00FF0C21" w:rsidRPr="00DC4D21" w:rsidRDefault="00054976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054976">
      <w:rPr>
        <w:rFonts w:ascii="Arial" w:hAnsi="Arial" w:cs="Arial"/>
        <w:sz w:val="16"/>
        <w:szCs w:val="16"/>
      </w:rPr>
      <w:t>Geodetické služby 0</w:t>
    </w:r>
    <w:r>
      <w:rPr>
        <w:rFonts w:ascii="Arial" w:hAnsi="Arial" w:cs="Arial"/>
        <w:sz w:val="16"/>
        <w:szCs w:val="16"/>
      </w:rPr>
      <w:t>2</w:t>
    </w:r>
    <w:r w:rsidRPr="00054976">
      <w:rPr>
        <w:rFonts w:ascii="Arial" w:hAnsi="Arial" w:cs="Arial"/>
        <w:sz w:val="16"/>
        <w:szCs w:val="16"/>
      </w:rPr>
      <w:t>/2024 - KPÚ pro Olomoucký kraj, okresy Olomouc, Prostějov a Přerov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576D1D5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054976" w:rsidRPr="00054976">
      <w:rPr>
        <w:rFonts w:ascii="Arial" w:hAnsi="Arial" w:cs="Arial"/>
        <w:sz w:val="16"/>
        <w:szCs w:val="16"/>
      </w:rPr>
      <w:t>Geodetické služby 0</w:t>
    </w:r>
    <w:r w:rsidR="00054976">
      <w:rPr>
        <w:rFonts w:ascii="Arial" w:hAnsi="Arial" w:cs="Arial"/>
        <w:sz w:val="16"/>
        <w:szCs w:val="16"/>
      </w:rPr>
      <w:t>2</w:t>
    </w:r>
    <w:r w:rsidR="00054976" w:rsidRPr="00054976">
      <w:rPr>
        <w:rFonts w:ascii="Arial" w:hAnsi="Arial" w:cs="Arial"/>
        <w:sz w:val="16"/>
        <w:szCs w:val="16"/>
      </w:rPr>
      <w:t>/2024 - KPÚ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500E"/>
    <w:rsid w:val="00011811"/>
    <w:rsid w:val="00014665"/>
    <w:rsid w:val="00015AA5"/>
    <w:rsid w:val="0002251A"/>
    <w:rsid w:val="000530CF"/>
    <w:rsid w:val="00054976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89"/>
    <w:rsid w:val="000E11EC"/>
    <w:rsid w:val="000E3EF4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57B2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07DE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17118"/>
    <w:rsid w:val="00225AE6"/>
    <w:rsid w:val="002305CB"/>
    <w:rsid w:val="00232E76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30C2F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1AD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89A"/>
    <w:rsid w:val="004543E0"/>
    <w:rsid w:val="00454594"/>
    <w:rsid w:val="004557E0"/>
    <w:rsid w:val="00456F23"/>
    <w:rsid w:val="00457C2D"/>
    <w:rsid w:val="00461240"/>
    <w:rsid w:val="004619F4"/>
    <w:rsid w:val="00461C2B"/>
    <w:rsid w:val="004672B6"/>
    <w:rsid w:val="00471C95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14BA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494D"/>
    <w:rsid w:val="006D681C"/>
    <w:rsid w:val="006E0028"/>
    <w:rsid w:val="006E4835"/>
    <w:rsid w:val="006F0948"/>
    <w:rsid w:val="006F1AD1"/>
    <w:rsid w:val="00704C0E"/>
    <w:rsid w:val="007063BA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5D4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93F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1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1C90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5F21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9779D"/>
    <w:rsid w:val="009A31A6"/>
    <w:rsid w:val="009B08BC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2D8D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B7350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D7FB7"/>
    <w:rsid w:val="00BE0C70"/>
    <w:rsid w:val="00BF0628"/>
    <w:rsid w:val="00BF373E"/>
    <w:rsid w:val="00BF5F8C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66758"/>
    <w:rsid w:val="00C70585"/>
    <w:rsid w:val="00C90564"/>
    <w:rsid w:val="00CA2120"/>
    <w:rsid w:val="00CA5195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62EA"/>
    <w:rsid w:val="00D172A1"/>
    <w:rsid w:val="00D27F27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F27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4947</Words>
  <Characters>29193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19</cp:revision>
  <cp:lastPrinted>2019-05-02T06:41:00Z</cp:lastPrinted>
  <dcterms:created xsi:type="dcterms:W3CDTF">2024-09-02T12:53:00Z</dcterms:created>
  <dcterms:modified xsi:type="dcterms:W3CDTF">2024-09-03T11:33:00Z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